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="142" w:tblpY="2779"/>
        <w:tblW w:w="14046" w:type="dxa"/>
        <w:tblBorders>
          <w:top w:val="single" w:sz="4" w:space="0" w:color="E36C0A" w:themeColor="accent6" w:themeShade="BF"/>
          <w:left w:val="single" w:sz="4" w:space="0" w:color="E36C0A" w:themeColor="accent6" w:themeShade="BF"/>
          <w:bottom w:val="single" w:sz="4" w:space="0" w:color="E36C0A" w:themeColor="accent6" w:themeShade="BF"/>
          <w:right w:val="single" w:sz="4" w:space="0" w:color="E36C0A" w:themeColor="accent6" w:themeShade="BF"/>
          <w:insideH w:val="single" w:sz="4" w:space="0" w:color="E36C0A" w:themeColor="accent6" w:themeShade="BF"/>
          <w:insideV w:val="single" w:sz="4" w:space="0" w:color="E36C0A" w:themeColor="accent6" w:themeShade="BF"/>
        </w:tblBorders>
        <w:shd w:val="clear" w:color="auto" w:fill="FABF8F" w:themeFill="accent6" w:themeFillTint="99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4046"/>
      </w:tblGrid>
      <w:tr w:rsidR="00054A19" w:rsidRPr="004F3125" w:rsidTr="00054A19">
        <w:trPr>
          <w:trHeight w:val="1521"/>
        </w:trPr>
        <w:tc>
          <w:tcPr>
            <w:tcW w:w="14046" w:type="dxa"/>
            <w:shd w:val="clear" w:color="auto" w:fill="FABF8F" w:themeFill="accent6" w:themeFillTint="99"/>
            <w:vAlign w:val="center"/>
          </w:tcPr>
          <w:p w:rsidR="00054A19" w:rsidRDefault="00054A19" w:rsidP="00E74A89">
            <w:pPr>
              <w:pStyle w:val="berschrift1"/>
            </w:pPr>
            <w:bookmarkStart w:id="0" w:name="_GoBack"/>
            <w:bookmarkEnd w:id="0"/>
            <w:r w:rsidRPr="00A75E44">
              <w:t xml:space="preserve">Bearbeitungshinweis: </w:t>
            </w:r>
          </w:p>
          <w:p w:rsidR="00054A19" w:rsidRPr="00A75E44" w:rsidRDefault="00054A19" w:rsidP="00054A19">
            <w:pPr>
              <w:spacing w:after="0" w:line="288" w:lineRule="auto"/>
              <w:rPr>
                <w:rFonts w:cs="Arial"/>
                <w:b/>
              </w:rPr>
            </w:pPr>
            <w:r w:rsidRPr="00A75E44">
              <w:rPr>
                <w:rFonts w:cs="Arial"/>
              </w:rPr>
              <w:t xml:space="preserve">Für die Einhaltung </w:t>
            </w:r>
            <w:r>
              <w:rPr>
                <w:rFonts w:cs="Arial"/>
              </w:rPr>
              <w:t xml:space="preserve">der Anforderungen der Managementsystem-Normen </w:t>
            </w:r>
            <w:r w:rsidRPr="00A75E44">
              <w:rPr>
                <w:rFonts w:cs="Arial"/>
              </w:rPr>
              <w:t>ist u.a. die Durchführung regelmäßiger Prüfungen notwendig. In diese Übersicht können Sie alle wiederkehrenden Prüfpflichten im Rahmen des Management</w:t>
            </w:r>
            <w:r>
              <w:rPr>
                <w:rFonts w:cs="Arial"/>
              </w:rPr>
              <w:t>s</w:t>
            </w:r>
            <w:r w:rsidRPr="00A75E44">
              <w:rPr>
                <w:rFonts w:cs="Arial"/>
              </w:rPr>
              <w:t xml:space="preserve"> eintragen. Auf diese Weise behalten Sie den Überblick über bereits durchgeführte sowie anstehende Prüfungen. </w:t>
            </w:r>
          </w:p>
        </w:tc>
      </w:tr>
    </w:tbl>
    <w:p w:rsidR="00054A19" w:rsidRDefault="00054A19" w:rsidP="00054A19">
      <w:pPr>
        <w:spacing w:before="240" w:after="360"/>
        <w:ind w:right="-32"/>
        <w:rPr>
          <w:rFonts w:cs="Arial"/>
          <w:b/>
          <w:sz w:val="28"/>
          <w:szCs w:val="28"/>
        </w:rPr>
      </w:pPr>
      <w:r w:rsidRPr="004F3125">
        <w:rPr>
          <w:rFonts w:cs="Arial"/>
          <w:b/>
          <w:sz w:val="28"/>
          <w:szCs w:val="28"/>
        </w:rPr>
        <w:t>Wiederkehrende Prüfpflichten</w:t>
      </w:r>
    </w:p>
    <w:p w:rsidR="00054A19" w:rsidRDefault="00054A19" w:rsidP="00054A19">
      <w:pPr>
        <w:spacing w:before="240"/>
        <w:ind w:right="-28"/>
        <w:rPr>
          <w:rFonts w:cs="Arial"/>
          <w:bCs/>
        </w:rPr>
      </w:pPr>
    </w:p>
    <w:p w:rsidR="00054A19" w:rsidRPr="00A75E44" w:rsidRDefault="00054A19" w:rsidP="00054A19">
      <w:pPr>
        <w:spacing w:before="240"/>
        <w:ind w:right="-28"/>
        <w:rPr>
          <w:rFonts w:cs="Arial"/>
          <w:bCs/>
        </w:rPr>
      </w:pPr>
    </w:p>
    <w:tbl>
      <w:tblPr>
        <w:tblStyle w:val="Tabellenraster"/>
        <w:tblW w:w="14009" w:type="dxa"/>
        <w:tblInd w:w="1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127"/>
        <w:gridCol w:w="1418"/>
        <w:gridCol w:w="1276"/>
        <w:gridCol w:w="1701"/>
        <w:gridCol w:w="1559"/>
        <w:gridCol w:w="1843"/>
        <w:gridCol w:w="1817"/>
      </w:tblGrid>
      <w:tr w:rsidR="00054A19" w:rsidRPr="004F3125" w:rsidTr="00054A19">
        <w:trPr>
          <w:cantSplit/>
          <w:trHeight w:val="340"/>
        </w:trPr>
        <w:tc>
          <w:tcPr>
            <w:tcW w:w="2268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Durchzuführende Tätigkeit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Grundlage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Häufigkeit/</w:t>
            </w:r>
          </w:p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Intervall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Letzte Prüfung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</w:t>
            </w:r>
            <w:r w:rsidRPr="004F3125">
              <w:rPr>
                <w:rFonts w:cs="Arial"/>
                <w:b/>
                <w:sz w:val="20"/>
                <w:szCs w:val="20"/>
              </w:rPr>
              <w:t xml:space="preserve">ächste Prüfung fällig am 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L</w:t>
            </w:r>
            <w:r w:rsidRPr="004F3125">
              <w:rPr>
                <w:rFonts w:cs="Arial"/>
                <w:b/>
                <w:sz w:val="20"/>
                <w:szCs w:val="20"/>
              </w:rPr>
              <w:t>etzte Prüfung ok? (ja/nein)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 xml:space="preserve">Zuständigkeit </w:t>
            </w:r>
            <w:r w:rsidRPr="004F3125">
              <w:rPr>
                <w:rFonts w:cs="Arial"/>
                <w:b/>
                <w:sz w:val="20"/>
                <w:szCs w:val="20"/>
              </w:rPr>
              <w:br/>
              <w:t>(intern/extern)</w:t>
            </w:r>
          </w:p>
        </w:tc>
        <w:tc>
          <w:tcPr>
            <w:tcW w:w="1817" w:type="dxa"/>
            <w:shd w:val="clear" w:color="auto" w:fill="D9D9D9" w:themeFill="background1" w:themeFillShade="D9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4F3125">
              <w:rPr>
                <w:rFonts w:cs="Arial"/>
                <w:b/>
                <w:sz w:val="20"/>
                <w:szCs w:val="20"/>
              </w:rPr>
              <w:t>Ablageort der Prüfergebnisse</w:t>
            </w: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z.B. </w:t>
            </w:r>
            <w:r w:rsidR="00054A19">
              <w:rPr>
                <w:rFonts w:cs="Arial"/>
                <w:i/>
                <w:sz w:val="20"/>
                <w:szCs w:val="20"/>
              </w:rPr>
              <w:t>Internes Audit</w:t>
            </w: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Kap. 9.2</w:t>
            </w: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4F3125">
              <w:rPr>
                <w:rFonts w:cs="Arial"/>
                <w:i/>
                <w:sz w:val="20"/>
                <w:szCs w:val="20"/>
              </w:rPr>
              <w:t>jährlich</w:t>
            </w: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4F3125">
              <w:rPr>
                <w:rFonts w:cs="Arial"/>
                <w:i/>
                <w:sz w:val="20"/>
                <w:szCs w:val="20"/>
              </w:rPr>
              <w:t>15.11.2019</w:t>
            </w: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4F3125">
              <w:rPr>
                <w:rFonts w:cs="Arial"/>
                <w:i/>
                <w:sz w:val="20"/>
                <w:szCs w:val="20"/>
              </w:rPr>
              <w:t>15.11.2020</w:t>
            </w: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4F3125">
              <w:rPr>
                <w:rFonts w:cs="Arial"/>
                <w:i/>
                <w:sz w:val="20"/>
                <w:szCs w:val="20"/>
              </w:rPr>
              <w:t>Ja</w:t>
            </w: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4F3125">
              <w:rPr>
                <w:rFonts w:cs="Arial"/>
                <w:i/>
                <w:sz w:val="20"/>
                <w:szCs w:val="20"/>
              </w:rPr>
              <w:t xml:space="preserve">Extern </w:t>
            </w: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Auditierung 20XX</w:t>
            </w: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703CFD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 xml:space="preserve">z.B. </w:t>
            </w:r>
            <w:r w:rsidRPr="00703CFD">
              <w:rPr>
                <w:rFonts w:cs="Arial"/>
                <w:i/>
                <w:sz w:val="20"/>
                <w:szCs w:val="20"/>
              </w:rPr>
              <w:t>Management Review</w:t>
            </w:r>
          </w:p>
        </w:tc>
        <w:tc>
          <w:tcPr>
            <w:tcW w:w="2127" w:type="dxa"/>
          </w:tcPr>
          <w:p w:rsidR="00054A19" w:rsidRPr="00703CFD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703CFD">
              <w:rPr>
                <w:rFonts w:cs="Arial"/>
                <w:i/>
                <w:sz w:val="20"/>
                <w:szCs w:val="20"/>
              </w:rPr>
              <w:t>Kap. 9.3</w:t>
            </w:r>
          </w:p>
        </w:tc>
        <w:tc>
          <w:tcPr>
            <w:tcW w:w="1418" w:type="dxa"/>
          </w:tcPr>
          <w:p w:rsidR="00054A19" w:rsidRPr="00703CFD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r w:rsidRPr="00703CFD">
              <w:rPr>
                <w:rFonts w:cs="Arial"/>
                <w:i/>
                <w:sz w:val="20"/>
                <w:szCs w:val="20"/>
              </w:rPr>
              <w:t>Jährlich</w:t>
            </w:r>
          </w:p>
        </w:tc>
        <w:tc>
          <w:tcPr>
            <w:tcW w:w="1276" w:type="dxa"/>
          </w:tcPr>
          <w:p w:rsidR="00054A19" w:rsidRPr="00703CFD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703CFD">
              <w:rPr>
                <w:rFonts w:cs="Arial"/>
                <w:i/>
                <w:sz w:val="20"/>
                <w:szCs w:val="20"/>
              </w:rPr>
              <w:t>xx.xx.xxxx</w:t>
            </w:r>
            <w:proofErr w:type="spellEnd"/>
          </w:p>
        </w:tc>
        <w:tc>
          <w:tcPr>
            <w:tcW w:w="1701" w:type="dxa"/>
          </w:tcPr>
          <w:p w:rsidR="00054A19" w:rsidRPr="00703CFD" w:rsidRDefault="00703CFD" w:rsidP="00847047">
            <w:pPr>
              <w:spacing w:after="0" w:line="240" w:lineRule="auto"/>
              <w:rPr>
                <w:rFonts w:cs="Arial"/>
                <w:i/>
                <w:sz w:val="20"/>
                <w:szCs w:val="20"/>
              </w:rPr>
            </w:pPr>
            <w:proofErr w:type="spellStart"/>
            <w:r w:rsidRPr="00703CFD">
              <w:rPr>
                <w:rFonts w:cs="Arial"/>
                <w:i/>
                <w:sz w:val="20"/>
                <w:szCs w:val="20"/>
              </w:rPr>
              <w:t>xx.xx.xxxx</w:t>
            </w:r>
            <w:proofErr w:type="spellEnd"/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54A19" w:rsidRPr="004F3125" w:rsidTr="00054A19">
        <w:trPr>
          <w:cantSplit/>
          <w:trHeight w:val="340"/>
        </w:trPr>
        <w:tc>
          <w:tcPr>
            <w:tcW w:w="226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817" w:type="dxa"/>
          </w:tcPr>
          <w:p w:rsidR="00054A19" w:rsidRPr="004F3125" w:rsidRDefault="00054A19" w:rsidP="0084704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33192E" w:rsidRDefault="0033192E" w:rsidP="000E3F74">
      <w:pPr>
        <w:rPr>
          <w:sz w:val="20"/>
        </w:rPr>
      </w:pPr>
    </w:p>
    <w:sectPr w:rsidR="0033192E" w:rsidSect="00054A19">
      <w:headerReference w:type="default" r:id="rId8"/>
      <w:footerReference w:type="default" r:id="rId9"/>
      <w:type w:val="continuous"/>
      <w:pgSz w:w="16838" w:h="11906" w:orient="landscape" w:code="9"/>
      <w:pgMar w:top="1985" w:right="1418" w:bottom="1276" w:left="1418" w:header="36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415C" w:rsidRDefault="00FC415C">
      <w:pPr>
        <w:spacing w:line="240" w:lineRule="auto"/>
      </w:pPr>
      <w:r>
        <w:separator/>
      </w:r>
    </w:p>
  </w:endnote>
  <w:endnote w:type="continuationSeparator" w:id="0">
    <w:p w:rsidR="00FC415C" w:rsidRDefault="00FC41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Default="00622FBC">
    <w:pPr>
      <w:pStyle w:val="Fuzeile"/>
      <w:tabs>
        <w:tab w:val="clear" w:pos="4536"/>
        <w:tab w:val="left" w:pos="2268"/>
        <w:tab w:val="left" w:pos="3969"/>
        <w:tab w:val="left" w:pos="5103"/>
      </w:tabs>
      <w:ind w:right="-2"/>
      <w:jc w:val="right"/>
      <w:rPr>
        <w:color w:val="808080"/>
        <w:sz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613A68" wp14:editId="660A520A">
              <wp:simplePos x="0" y="0"/>
              <wp:positionH relativeFrom="column">
                <wp:posOffset>-66274</wp:posOffset>
              </wp:positionH>
              <wp:positionV relativeFrom="paragraph">
                <wp:posOffset>116840</wp:posOffset>
              </wp:positionV>
              <wp:extent cx="9070340" cy="276225"/>
              <wp:effectExtent l="0" t="0" r="16510" b="28575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70340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2FBC" w:rsidRPr="0033192E" w:rsidRDefault="00622FBC" w:rsidP="00622FBC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3070"/>
                              <w:tab w:val="left" w:pos="7479"/>
                              <w:tab w:val="right" w:pos="14002"/>
                            </w:tabs>
                            <w:spacing w:before="60" w:after="60"/>
                            <w:ind w:right="-312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Ausgabedatum: </w:t>
                          </w:r>
                          <w:r w:rsidR="000838ED">
                            <w:rPr>
                              <w:sz w:val="16"/>
                            </w:rPr>
                            <w:t>07.08.2020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Version: </w:t>
                          </w:r>
                          <w:r w:rsidRPr="000838ED">
                            <w:rPr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Erstellt durch: </w:t>
                          </w:r>
                          <w:r w:rsidR="000838ED">
                            <w:rPr>
                              <w:sz w:val="16"/>
                            </w:rPr>
                            <w:t>Arqum</w:t>
                          </w:r>
                          <w:r w:rsidR="00E74A89">
                            <w:rPr>
                              <w:sz w:val="16"/>
                            </w:rPr>
                            <w:t xml:space="preserve"> GmbH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Seite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 w:rsidR="00E74A89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</w:t>
                          </w:r>
                          <w:r w:rsidR="00E74A89">
                            <w:fldChar w:fldCharType="begin"/>
                          </w:r>
                          <w:r w:rsidR="00E74A89">
                            <w:instrText xml:space="preserve"> NUMPAGES  \* MERGEFORMAT </w:instrText>
                          </w:r>
                          <w:r w:rsidR="00E74A89">
                            <w:fldChar w:fldCharType="separate"/>
                          </w:r>
                          <w:r w:rsidR="00E74A89" w:rsidRPr="00E74A89">
                            <w:rPr>
                              <w:noProof/>
                              <w:sz w:val="16"/>
                            </w:rPr>
                            <w:t>1</w:t>
                          </w:r>
                          <w:r w:rsidR="00E74A89">
                            <w:rPr>
                              <w:noProof/>
                              <w:sz w:val="16"/>
                            </w:rPr>
                            <w:fldChar w:fldCharType="end"/>
                          </w:r>
                        </w:p>
                        <w:p w:rsidR="00622FBC" w:rsidRDefault="00622FBC" w:rsidP="00622FBC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left:0;text-align:left;margin-left:-5.2pt;margin-top:9.2pt;width:714.2pt;height:2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" strokecolor="white [3212]">
              <v:textbox>
                <w:txbxContent>
                  <w:p w:rsidR="00622FBC" w:rsidRPr="0033192E" w:rsidRDefault="00622FBC" w:rsidP="00622FBC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3070"/>
                        <w:tab w:val="left" w:pos="7479"/>
                        <w:tab w:val="right" w:pos="14002"/>
                      </w:tabs>
                      <w:spacing w:before="60" w:after="60"/>
                      <w:ind w:right="-312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 xml:space="preserve">Ausgabedatum: </w:t>
                    </w:r>
                    <w:r w:rsidR="000838ED">
                      <w:rPr>
                        <w:sz w:val="16"/>
                      </w:rPr>
                      <w:t>07.08.2020</w:t>
                    </w:r>
                    <w:r>
                      <w:rPr>
                        <w:sz w:val="16"/>
                      </w:rPr>
                      <w:tab/>
                      <w:t xml:space="preserve">Version: </w:t>
                    </w:r>
                    <w:r w:rsidRPr="000838ED">
                      <w:rPr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tab/>
                      <w:t xml:space="preserve">Erstellt durch: </w:t>
                    </w:r>
                    <w:r w:rsidR="000838ED">
                      <w:rPr>
                        <w:sz w:val="16"/>
                      </w:rPr>
                      <w:t>Arqum</w:t>
                    </w:r>
                    <w:r w:rsidR="00E74A89">
                      <w:rPr>
                        <w:sz w:val="16"/>
                      </w:rPr>
                      <w:t xml:space="preserve"> GmbH</w:t>
                    </w:r>
                    <w:r>
                      <w:rPr>
                        <w:sz w:val="16"/>
                      </w:rPr>
                      <w:tab/>
                      <w:t xml:space="preserve">Seite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 \* MERGEFORMAT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 w:rsidR="00E74A89"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 xml:space="preserve"> von </w:t>
                    </w:r>
                    <w:r w:rsidR="00E74A89">
                      <w:fldChar w:fldCharType="begin"/>
                    </w:r>
                    <w:r w:rsidR="00E74A89">
                      <w:instrText xml:space="preserve"> NUMPAGES  \* MERGEFORMAT </w:instrText>
                    </w:r>
                    <w:r w:rsidR="00E74A89">
                      <w:fldChar w:fldCharType="separate"/>
                    </w:r>
                    <w:r w:rsidR="00E74A89" w:rsidRPr="00E74A89">
                      <w:rPr>
                        <w:noProof/>
                        <w:sz w:val="16"/>
                      </w:rPr>
                      <w:t>1</w:t>
                    </w:r>
                    <w:r w:rsidR="00E74A89">
                      <w:rPr>
                        <w:noProof/>
                        <w:sz w:val="16"/>
                      </w:rPr>
                      <w:fldChar w:fldCharType="end"/>
                    </w:r>
                  </w:p>
                  <w:p w:rsidR="00622FBC" w:rsidRDefault="00622FBC" w:rsidP="00622FB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7A3EBD"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6B7436A7" wp14:editId="64618CBE">
          <wp:simplePos x="0" y="0"/>
          <wp:positionH relativeFrom="column">
            <wp:posOffset>-65448</wp:posOffset>
          </wp:positionH>
          <wp:positionV relativeFrom="paragraph">
            <wp:posOffset>32085</wp:posOffset>
          </wp:positionV>
          <wp:extent cx="8891270" cy="96520"/>
          <wp:effectExtent l="0" t="0" r="508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92E">
      <w:rPr>
        <w:color w:val="808080"/>
        <w:sz w:val="16"/>
      </w:rPr>
      <w:tab/>
    </w:r>
    <w:r w:rsidR="0033192E">
      <w:rPr>
        <w:color w:val="808080"/>
        <w:sz w:val="16"/>
      </w:rPr>
      <w:tab/>
    </w:r>
  </w:p>
  <w:p w:rsidR="004350DB" w:rsidRDefault="00622FBC">
    <w:pPr>
      <w:pStyle w:val="Fuzeile"/>
      <w:rPr>
        <w:color w:val="80808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5993A895" wp14:editId="10B7428F">
              <wp:simplePos x="0" y="0"/>
              <wp:positionH relativeFrom="column">
                <wp:posOffset>2231591</wp:posOffset>
              </wp:positionH>
              <wp:positionV relativeFrom="paragraph">
                <wp:posOffset>142407</wp:posOffset>
              </wp:positionV>
              <wp:extent cx="4571365" cy="348615"/>
              <wp:effectExtent l="0" t="0" r="19685" b="114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22FBC" w:rsidRDefault="00622FBC" w:rsidP="00622FBC">
                          <w:pPr>
                            <w:jc w:val="center"/>
                          </w:pPr>
                          <w:r>
                            <w:rPr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feld 307" o:spid="_x0000_s1028" type="#_x0000_t202" style="position:absolute;margin-left:175.7pt;margin-top:11.2pt;width:359.95pt;height:27.45pt;z-index:2516715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k3yLw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" strokecolor="white [3212]">
              <v:textbox style="mso-fit-shape-to-text:t">
                <w:txbxContent>
                  <w:p w:rsidR="00622FBC" w:rsidRDefault="00622FBC" w:rsidP="00622FBC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Vorlage zur Handlungshilfe IMS. Copyright: Bayerisches Landesamt für Umwelt (</w:t>
                    </w:r>
                    <w:proofErr w:type="spellStart"/>
                    <w:r>
                      <w:rPr>
                        <w:i/>
                        <w:sz w:val="16"/>
                      </w:rPr>
                      <w:t>LfU</w:t>
                    </w:r>
                    <w:proofErr w:type="spellEnd"/>
                    <w:r>
                      <w:rPr>
                        <w:i/>
                        <w:sz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415C" w:rsidRDefault="00FC415C">
      <w:pPr>
        <w:spacing w:line="240" w:lineRule="auto"/>
      </w:pPr>
      <w:r>
        <w:separator/>
      </w:r>
    </w:p>
  </w:footnote>
  <w:footnote w:type="continuationSeparator" w:id="0">
    <w:p w:rsidR="00FC415C" w:rsidRDefault="00FC415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Default="007A3EBD">
    <w:pPr>
      <w:pStyle w:val="Kopfzeile"/>
      <w:ind w:left="-142"/>
    </w:pPr>
    <w:r w:rsidRPr="007A3EBD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201F2486" wp14:editId="65C8E4D8">
          <wp:simplePos x="0" y="0"/>
          <wp:positionH relativeFrom="column">
            <wp:posOffset>279400</wp:posOffset>
          </wp:positionH>
          <wp:positionV relativeFrom="paragraph">
            <wp:posOffset>-109220</wp:posOffset>
          </wp:positionV>
          <wp:extent cx="657225" cy="556260"/>
          <wp:effectExtent l="0" t="0" r="9525" b="0"/>
          <wp:wrapNone/>
          <wp:docPr id="6" name="Grafik 6" descr="Z:\Proferl\LfU IMS\Überarbeitung\Firme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oferl\LfU IMS\Überarbeitung\Firme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A3EBD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67002D33" wp14:editId="0CD2EB9A">
          <wp:simplePos x="0" y="0"/>
          <wp:positionH relativeFrom="column">
            <wp:posOffset>-97288</wp:posOffset>
          </wp:positionH>
          <wp:positionV relativeFrom="paragraph">
            <wp:posOffset>488716</wp:posOffset>
          </wp:positionV>
          <wp:extent cx="8891270" cy="96520"/>
          <wp:effectExtent l="0" t="0" r="508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47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A51FE8" wp14:editId="63C5BA28">
              <wp:simplePos x="0" y="0"/>
              <wp:positionH relativeFrom="column">
                <wp:posOffset>4914900</wp:posOffset>
              </wp:positionH>
              <wp:positionV relativeFrom="paragraph">
                <wp:posOffset>145415</wp:posOffset>
              </wp:positionV>
              <wp:extent cx="4242435" cy="293370"/>
              <wp:effectExtent l="0" t="254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24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0DB" w:rsidRPr="0085207D" w:rsidRDefault="00054A19" w:rsidP="00054A19">
                          <w:pPr>
                            <w:ind w:right="295"/>
                            <w:jc w:val="right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</w:rPr>
                            <w:t>Normkap</w:t>
                          </w:r>
                          <w:proofErr w:type="spellEnd"/>
                          <w:r>
                            <w:rPr>
                              <w:b/>
                            </w:rPr>
                            <w:t>. 6.3.1: Wiederkehrende Prüfpflichten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87pt;margin-top:11.45pt;width:334.05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" filled="f" stroked="f">
              <v:textbox>
                <w:txbxContent>
                  <w:p w:rsidR="004350DB" w:rsidRPr="0085207D" w:rsidRDefault="00054A19" w:rsidP="00054A19">
                    <w:pPr>
                      <w:ind w:right="295"/>
                      <w:jc w:val="right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Normkap</w:t>
                    </w:r>
                    <w:proofErr w:type="spellEnd"/>
                    <w:r>
                      <w:rPr>
                        <w:b/>
                      </w:rPr>
                      <w:t>. 6.3.1: Wiederkehrende Prüfpflichten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6EC"/>
    <w:multiLevelType w:val="hybridMultilevel"/>
    <w:tmpl w:val="80C8FAEC"/>
    <w:lvl w:ilvl="0" w:tplc="9318A30C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5270C9"/>
    <w:multiLevelType w:val="hybridMultilevel"/>
    <w:tmpl w:val="34367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A6105"/>
    <w:multiLevelType w:val="hybridMultilevel"/>
    <w:tmpl w:val="D8CA5B3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61595"/>
    <w:multiLevelType w:val="hybridMultilevel"/>
    <w:tmpl w:val="5ACCE1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1B5C1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2BA2F7A"/>
    <w:multiLevelType w:val="hybridMultilevel"/>
    <w:tmpl w:val="D34EFB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A2392C"/>
    <w:multiLevelType w:val="hybridMultilevel"/>
    <w:tmpl w:val="DCD0B450"/>
    <w:lvl w:ilvl="0" w:tplc="79261090">
      <w:start w:val="5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DF3119"/>
    <w:multiLevelType w:val="hybridMultilevel"/>
    <w:tmpl w:val="81365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F7B43"/>
    <w:multiLevelType w:val="hybridMultilevel"/>
    <w:tmpl w:val="237CC86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5638EC"/>
    <w:multiLevelType w:val="hybridMultilevel"/>
    <w:tmpl w:val="F8C2D68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5F0516"/>
    <w:multiLevelType w:val="hybridMultilevel"/>
    <w:tmpl w:val="BB58C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1781F"/>
    <w:multiLevelType w:val="hybridMultilevel"/>
    <w:tmpl w:val="3BA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13"/>
    <w:rsid w:val="00042733"/>
    <w:rsid w:val="00054A19"/>
    <w:rsid w:val="000838ED"/>
    <w:rsid w:val="000E3F74"/>
    <w:rsid w:val="001A33E7"/>
    <w:rsid w:val="0033192E"/>
    <w:rsid w:val="004350DB"/>
    <w:rsid w:val="00604A13"/>
    <w:rsid w:val="00622FBC"/>
    <w:rsid w:val="00703CFD"/>
    <w:rsid w:val="007A3EBD"/>
    <w:rsid w:val="0085207D"/>
    <w:rsid w:val="008F547B"/>
    <w:rsid w:val="009E7231"/>
    <w:rsid w:val="00DC6AB7"/>
    <w:rsid w:val="00E74A89"/>
    <w:rsid w:val="00F02052"/>
    <w:rsid w:val="00FC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character" w:customStyle="1" w:styleId="FuzeileZchn">
    <w:name w:val="Fußzeile Zchn"/>
    <w:aliases w:val="Fußzeile (Org_Hb) Zchn"/>
    <w:basedOn w:val="Absatz-Standardschriftart"/>
    <w:link w:val="Fuzeile"/>
    <w:rsid w:val="00622FBC"/>
    <w:rPr>
      <w:rFonts w:ascii="Verdana" w:eastAsiaTheme="minorHAnsi" w:hAnsi="Verdana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character" w:customStyle="1" w:styleId="FuzeileZchn">
    <w:name w:val="Fußzeile Zchn"/>
    <w:aliases w:val="Fußzeile (Org_Hb) Zchn"/>
    <w:basedOn w:val="Absatz-Standardschriftart"/>
    <w:link w:val="Fuzeile"/>
    <w:rsid w:val="00622FBC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arina.bentele\Documents\IMS\02_Handlungshilfe\Musterdokument%20MS%20quer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Musterdokument MS quer</Template>
  <TotalTime>0</TotalTime>
  <Pages>1</Pages>
  <Words>106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Rundgang vom:</vt:lpstr>
    </vt:vector>
  </TitlesOfParts>
  <Company>Arqum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Rundgang vom:</dc:title>
  <dc:creator>Arqum - Katharina Bentele</dc:creator>
  <cp:lastModifiedBy>Arqum - Katharina Bentele</cp:lastModifiedBy>
  <cp:revision>5</cp:revision>
  <dcterms:created xsi:type="dcterms:W3CDTF">2020-07-31T07:41:00Z</dcterms:created>
  <dcterms:modified xsi:type="dcterms:W3CDTF">2020-09-21T09:18:00Z</dcterms:modified>
</cp:coreProperties>
</file>