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CA" w:rsidRDefault="00870FCA"/>
    <w:tbl>
      <w:tblPr>
        <w:tblStyle w:val="Tabellenraster"/>
        <w:tblW w:w="14759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759"/>
      </w:tblGrid>
      <w:tr w:rsidR="008E3C13" w:rsidTr="0046356B">
        <w:trPr>
          <w:trHeight w:val="2243"/>
        </w:trPr>
        <w:tc>
          <w:tcPr>
            <w:tcW w:w="14759" w:type="dxa"/>
            <w:shd w:val="clear" w:color="auto" w:fill="EAF1DD" w:themeFill="accent3" w:themeFillTint="33"/>
            <w:vAlign w:val="center"/>
          </w:tcPr>
          <w:p w:rsidR="008E3C13" w:rsidRDefault="008E3C13" w:rsidP="00EF3EA9">
            <w:pPr>
              <w:spacing w:after="200" w:line="288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:rsidR="00535D00" w:rsidRDefault="00EB4EC8" w:rsidP="00535D00">
            <w:p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Planen Sie mit dem Auditprogramm die Durchführung der Umweltbetriebsprüfung (internes Audit) für den Validierungszyklus</w:t>
            </w:r>
            <w:r w:rsidR="00015BF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und gegebenenfalls darüber hinaus. Hierzu kennzeichnen Sie mit einem Kreuz, welche Normanforderungen Sie im jeweiligen Jahr überprüfen möchten</w:t>
            </w:r>
            <w:r w:rsidR="00C72B8A">
              <w:rPr>
                <w:rFonts w:ascii="Arial" w:hAnsi="Arial" w:cs="Arial"/>
                <w:sz w:val="20"/>
                <w:szCs w:val="20"/>
              </w:rPr>
              <w:t xml:space="preserve"> (jährlich, zweijährlich oder nur einmal im Validierungszyklus)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D46FE">
              <w:rPr>
                <w:rFonts w:ascii="Arial" w:hAnsi="Arial" w:cs="Arial"/>
                <w:sz w:val="20"/>
                <w:szCs w:val="20"/>
              </w:rPr>
              <w:t xml:space="preserve">Im </w:t>
            </w:r>
            <w:r w:rsidR="00964E91">
              <w:rPr>
                <w:rFonts w:ascii="Arial" w:hAnsi="Arial" w:cs="Arial"/>
                <w:sz w:val="20"/>
                <w:szCs w:val="20"/>
              </w:rPr>
              <w:t xml:space="preserve">Laufe </w:t>
            </w:r>
            <w:r w:rsidR="00ED46FE">
              <w:rPr>
                <w:rFonts w:ascii="Arial" w:hAnsi="Arial" w:cs="Arial"/>
                <w:sz w:val="20"/>
                <w:szCs w:val="20"/>
              </w:rPr>
              <w:t>eines Validierungszyklus sollen alle Normanforderungen mindestens einmal überprüft werden.</w:t>
            </w:r>
            <w:r w:rsidR="00535D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71DE1" w:rsidRPr="00E71DE1" w:rsidRDefault="0046356B" w:rsidP="00345B74">
            <w:pPr>
              <w:spacing w:after="200"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20B">
              <w:rPr>
                <w:rFonts w:ascii="Arial" w:hAnsi="Arial" w:cs="Arial"/>
                <w:b/>
                <w:sz w:val="20"/>
                <w:szCs w:val="20"/>
              </w:rPr>
              <w:t>Hinweise zu</w:t>
            </w:r>
            <w:r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Pr="00C3420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Validierungszyklus</w:t>
            </w:r>
            <w:r w:rsidRPr="00C3420B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Eine Begutachtung des UMS nach EMAS durch einen Umweltgutachter erfolgt in der Regel im Zyklus von drei</w:t>
            </w:r>
            <w:r w:rsidRPr="00535D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Jahren. Kleine und mittelständische</w:t>
            </w:r>
            <w:r w:rsidRPr="00C3420B">
              <w:rPr>
                <w:rFonts w:ascii="Arial" w:hAnsi="Arial" w:cs="Arial"/>
                <w:sz w:val="20"/>
                <w:szCs w:val="20"/>
              </w:rPr>
              <w:t xml:space="preserve"> Unternehmen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535D00">
              <w:rPr>
                <w:rFonts w:ascii="Arial" w:hAnsi="Arial" w:cs="Arial"/>
                <w:sz w:val="20"/>
                <w:szCs w:val="20"/>
              </w:rPr>
              <w:t>KMU</w:t>
            </w:r>
            <w:r>
              <w:rPr>
                <w:rFonts w:ascii="Arial" w:hAnsi="Arial" w:cs="Arial"/>
                <w:sz w:val="20"/>
                <w:szCs w:val="20"/>
              </w:rPr>
              <w:t>) können den Zyklus auf vier</w:t>
            </w:r>
            <w:r w:rsidRPr="00535D00">
              <w:rPr>
                <w:rFonts w:ascii="Arial" w:hAnsi="Arial" w:cs="Arial"/>
                <w:sz w:val="20"/>
                <w:szCs w:val="20"/>
              </w:rPr>
              <w:t xml:space="preserve"> Jahre</w:t>
            </w:r>
            <w:r>
              <w:rPr>
                <w:rFonts w:ascii="Arial" w:hAnsi="Arial" w:cs="Arial"/>
                <w:sz w:val="20"/>
                <w:szCs w:val="20"/>
              </w:rPr>
              <w:t xml:space="preserve"> ausdehnen. In der Zwischenzeit werden für Nicht-KMU jährlich sogenannte Überwachungsaudits </w:t>
            </w:r>
            <w:r w:rsidR="00F05E4E">
              <w:rPr>
                <w:rFonts w:ascii="Arial" w:hAnsi="Arial" w:cs="Arial"/>
                <w:sz w:val="20"/>
                <w:szCs w:val="20"/>
              </w:rPr>
              <w:t xml:space="preserve">durch den Umweltgutachter </w:t>
            </w:r>
            <w:r>
              <w:rPr>
                <w:rFonts w:ascii="Arial" w:hAnsi="Arial" w:cs="Arial"/>
                <w:sz w:val="20"/>
                <w:szCs w:val="20"/>
              </w:rPr>
              <w:t>durchgeführt. Für KMU erfolgt dies alle zwei Jahre.</w:t>
            </w:r>
          </w:p>
        </w:tc>
      </w:tr>
    </w:tbl>
    <w:p w:rsidR="008E3C13" w:rsidRDefault="008E3C13">
      <w:pPr>
        <w:rPr>
          <w:rFonts w:ascii="Arial" w:hAnsi="Arial" w:cs="Arial"/>
          <w:b/>
          <w:sz w:val="28"/>
          <w:szCs w:val="28"/>
        </w:rPr>
      </w:pPr>
    </w:p>
    <w:p w:rsidR="00937644" w:rsidRDefault="0022608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Auditprogramm</w:t>
      </w:r>
    </w:p>
    <w:tbl>
      <w:tblPr>
        <w:tblStyle w:val="Tabellenraster"/>
        <w:tblpPr w:leftFromText="141" w:rightFromText="141" w:vertAnchor="text" w:tblpX="-86" w:tblpY="1"/>
        <w:tblOverlap w:val="never"/>
        <w:tblW w:w="1314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4"/>
        <w:gridCol w:w="5048"/>
        <w:gridCol w:w="1007"/>
        <w:gridCol w:w="1007"/>
        <w:gridCol w:w="1007"/>
        <w:gridCol w:w="1007"/>
        <w:gridCol w:w="1007"/>
        <w:gridCol w:w="1755"/>
      </w:tblGrid>
      <w:tr w:rsidR="009740AA" w:rsidRPr="00840FEA" w:rsidTr="00C3420B">
        <w:trPr>
          <w:cantSplit/>
          <w:trHeight w:val="540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9740AA" w:rsidRPr="008A3C2B" w:rsidRDefault="009740AA" w:rsidP="007140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EMAS-VO</w:t>
            </w:r>
          </w:p>
        </w:tc>
        <w:tc>
          <w:tcPr>
            <w:tcW w:w="5048" w:type="dxa"/>
            <w:shd w:val="clear" w:color="auto" w:fill="D9D9D9" w:themeFill="background1" w:themeFillShade="D9"/>
            <w:vAlign w:val="center"/>
          </w:tcPr>
          <w:p w:rsidR="009740AA" w:rsidRPr="00015BF9" w:rsidRDefault="009740AA" w:rsidP="0071401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3C2B">
              <w:rPr>
                <w:rFonts w:ascii="Arial" w:hAnsi="Arial" w:cs="Arial"/>
                <w:b/>
                <w:sz w:val="20"/>
                <w:szCs w:val="20"/>
              </w:rPr>
              <w:t>Normanforderung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:rsidR="009740AA" w:rsidRPr="0071401D" w:rsidRDefault="009740AA" w:rsidP="007140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4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:rsidR="009740AA" w:rsidRPr="0071401D" w:rsidRDefault="009740AA" w:rsidP="007140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4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:rsidR="009740AA" w:rsidRPr="0071401D" w:rsidRDefault="009740AA" w:rsidP="0071401D">
            <w:pPr>
              <w:tabs>
                <w:tab w:val="left" w:pos="210"/>
                <w:tab w:val="center" w:pos="4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4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:rsidR="009740AA" w:rsidRPr="0071401D" w:rsidRDefault="009740AA" w:rsidP="0071401D">
            <w:pPr>
              <w:tabs>
                <w:tab w:val="left" w:pos="210"/>
                <w:tab w:val="center" w:pos="4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4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07" w:type="dxa"/>
            <w:shd w:val="clear" w:color="auto" w:fill="D9D9D9" w:themeFill="background1" w:themeFillShade="D9"/>
            <w:vAlign w:val="center"/>
          </w:tcPr>
          <w:p w:rsidR="009740AA" w:rsidRPr="0071401D" w:rsidRDefault="009740AA" w:rsidP="0071401D">
            <w:pPr>
              <w:tabs>
                <w:tab w:val="left" w:pos="210"/>
                <w:tab w:val="center" w:pos="475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1401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755" w:type="dxa"/>
            <w:shd w:val="clear" w:color="auto" w:fill="D9D9D9" w:themeFill="background1" w:themeFillShade="D9"/>
            <w:vAlign w:val="center"/>
          </w:tcPr>
          <w:p w:rsidR="009740AA" w:rsidRPr="00840FEA" w:rsidRDefault="009740AA" w:rsidP="0071401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Auditor</w:t>
            </w: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A.4.1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545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Kontext der Organisation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5457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Hr. Müller</w:t>
            </w: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A.4.2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545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Interessierte Parteien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5457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Hr. Müller</w:t>
            </w: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A.4.3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Anwendungsbereich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A.5.1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545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Führung und Verpflichtung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5457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A.5.2/B.1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545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B0BF1">
              <w:rPr>
                <w:rFonts w:ascii="Arial" w:hAnsi="Arial" w:cs="Arial"/>
                <w:bCs/>
                <w:sz w:val="20"/>
                <w:szCs w:val="20"/>
              </w:rPr>
              <w:t>Umweltpolitik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5457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A.5.3/B.2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5457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Rollen, Verantwortlichkeiten und Befugnisse in der Organisation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5457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9835D0" w:rsidRDefault="009740AA" w:rsidP="00E5457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A.6/B.3, Anhang I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Planung / Umweltprüfung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A.6.1.1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Umgang mit Risiken und Chancen-Allgemeines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A.6.1.2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Umweltaspekte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A.6.1.3/B.4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Bindende Verpflichtungen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lastRenderedPageBreak/>
              <w:t>A.6.1.4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Planung von Maßnahmen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A.6.2.1/B.5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Umweltziele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A.6.2.2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Maßnahmen zur Erreichung der Umweltziele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A.7.1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Ressourcen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A.7.2/B.6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Kompetenz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A.7.3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Bewusstsein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A.7.4/B.7, Anhang IV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B0BF1">
              <w:rPr>
                <w:rFonts w:ascii="Arial" w:hAnsi="Arial" w:cs="Arial"/>
                <w:bCs/>
                <w:sz w:val="20"/>
                <w:szCs w:val="20"/>
              </w:rPr>
              <w:t>Kommunikation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A.7.5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Dokumentierte Informationen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A.8.1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Betriebliche Planung und Steuerung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9835D0" w:rsidRDefault="009740AA" w:rsidP="00E71F67">
            <w:pPr>
              <w:jc w:val="center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9835D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X</w:t>
            </w:r>
          </w:p>
        </w:tc>
        <w:tc>
          <w:tcPr>
            <w:tcW w:w="1755" w:type="dxa"/>
          </w:tcPr>
          <w:p w:rsidR="009740AA" w:rsidRPr="009835D0" w:rsidRDefault="009740AA" w:rsidP="00E71F67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A.8.2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Notfallvorsorge und Gefahrenabwehr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A.9.1.1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Überwachung, Messung, Analyse und Bewertung - Allgemeines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A.9.1.2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Bewertung der Einhaltung von Verpflichtungen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A.9.2/bzw. Anhang III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Internes Audit / Umweltbetriebsprüfung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A.9.3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Managementbewertung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A.10.2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Nichtkonformitäten und Korrekturmaßnahmen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0AA" w:rsidRPr="00840FEA" w:rsidTr="00C3420B">
        <w:trPr>
          <w:cantSplit/>
          <w:trHeight w:val="340"/>
        </w:trPr>
        <w:tc>
          <w:tcPr>
            <w:tcW w:w="1304" w:type="dxa"/>
            <w:vAlign w:val="center"/>
          </w:tcPr>
          <w:p w:rsidR="009740AA" w:rsidRPr="0071401D" w:rsidRDefault="009740AA" w:rsidP="0071401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A.10.3</w:t>
            </w:r>
          </w:p>
        </w:tc>
        <w:tc>
          <w:tcPr>
            <w:tcW w:w="5048" w:type="dxa"/>
            <w:vAlign w:val="center"/>
          </w:tcPr>
          <w:p w:rsidR="009740AA" w:rsidRPr="0071401D" w:rsidRDefault="009740AA" w:rsidP="00E71F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1401D">
              <w:rPr>
                <w:rFonts w:ascii="Arial" w:hAnsi="Arial" w:cs="Arial"/>
                <w:bCs/>
                <w:sz w:val="20"/>
                <w:szCs w:val="20"/>
              </w:rPr>
              <w:t>Kontinuierliche Verbesserung</w:t>
            </w: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</w:tcPr>
          <w:p w:rsidR="009740AA" w:rsidRPr="00B92F0B" w:rsidRDefault="009740AA" w:rsidP="00E71F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</w:tcPr>
          <w:p w:rsidR="009740AA" w:rsidRPr="00B92F0B" w:rsidRDefault="009740AA" w:rsidP="00E71F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D168C" w:rsidRPr="00840FEA" w:rsidRDefault="007D168C" w:rsidP="003F5052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7D168C" w:rsidRPr="00840FEA" w:rsidSect="00F90F2D">
      <w:headerReference w:type="default" r:id="rId9"/>
      <w:footerReference w:type="default" r:id="rId10"/>
      <w:pgSz w:w="16838" w:h="11906" w:orient="landscape"/>
      <w:pgMar w:top="853" w:right="1103" w:bottom="707" w:left="1134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D90" w:rsidRDefault="005E5D90" w:rsidP="007B1FB4">
      <w:pPr>
        <w:spacing w:after="0" w:line="240" w:lineRule="auto"/>
      </w:pPr>
      <w:r>
        <w:separator/>
      </w:r>
    </w:p>
  </w:endnote>
  <w:endnote w:type="continuationSeparator" w:id="0">
    <w:p w:rsidR="005E5D90" w:rsidRDefault="005E5D90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561752219"/>
      <w:docPartObj>
        <w:docPartGallery w:val="Page Numbers (Bottom of Page)"/>
        <w:docPartUnique/>
      </w:docPartObj>
    </w:sdtPr>
    <w:sdtEndPr/>
    <w:sdtContent>
      <w:p w:rsidR="003B71B7" w:rsidRPr="00282AF1" w:rsidRDefault="003B71B7" w:rsidP="00C72B8A">
        <w:pPr>
          <w:pStyle w:val="Fuzeile"/>
          <w:tabs>
            <w:tab w:val="left" w:pos="2055"/>
            <w:tab w:val="center" w:pos="7300"/>
          </w:tabs>
          <w:rPr>
            <w:rFonts w:ascii="Verdana" w:hAnsi="Verdana"/>
            <w:sz w:val="20"/>
            <w:szCs w:val="20"/>
          </w:rPr>
        </w:pPr>
      </w:p>
      <w:tbl>
        <w:tblPr>
          <w:tblStyle w:val="Tabellenraster"/>
          <w:tblW w:w="0" w:type="auto"/>
          <w:jc w:val="center"/>
          <w:tblLook w:val="04A0" w:firstRow="1" w:lastRow="0" w:firstColumn="1" w:lastColumn="0" w:noHBand="0" w:noVBand="1"/>
        </w:tblPr>
        <w:tblGrid>
          <w:gridCol w:w="4536"/>
          <w:gridCol w:w="4536"/>
          <w:gridCol w:w="4466"/>
        </w:tblGrid>
        <w:tr w:rsidR="00A26FA0" w:rsidRPr="00023D46" w:rsidTr="00671F9A">
          <w:trPr>
            <w:jc w:val="center"/>
          </w:trPr>
          <w:tc>
            <w:tcPr>
              <w:tcW w:w="4536" w:type="dxa"/>
            </w:tcPr>
            <w:p w:rsidR="00A26FA0" w:rsidRPr="00023D46" w:rsidRDefault="00575CE8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gültig ab</w:t>
              </w:r>
              <w:r w:rsidR="00A26FA0" w:rsidRPr="00023D46">
                <w:rPr>
                  <w:rFonts w:ascii="Arial" w:hAnsi="Arial" w:cs="Arial"/>
                  <w:sz w:val="16"/>
                  <w:szCs w:val="16"/>
                </w:rPr>
                <w:t xml:space="preserve">: </w:t>
              </w:r>
              <w:r w:rsidR="00A26FA0"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4536" w:type="dxa"/>
              <w:vMerge w:val="restart"/>
            </w:tcPr>
            <w:p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4466" w:type="dxa"/>
              <w:vMerge w:val="restart"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 w:rsidR="00C16909" w:rsidRPr="00023D4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 w:rsidR="00C16909" w:rsidRPr="00023D4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9835D0">
                <w:rPr>
                  <w:rFonts w:ascii="Arial" w:hAnsi="Arial" w:cs="Arial"/>
                  <w:noProof/>
                  <w:sz w:val="16"/>
                  <w:szCs w:val="16"/>
                </w:rPr>
                <w:t>2</w:t>
              </w:r>
              <w:r w:rsidR="00C16909" w:rsidRPr="00023D4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fldSimple w:instr=" NUMPAGES  \* MERGEFORMAT ">
                <w:r w:rsidR="009835D0" w:rsidRPr="009835D0">
                  <w:rPr>
                    <w:rFonts w:ascii="Arial" w:hAnsi="Arial" w:cs="Arial"/>
                    <w:noProof/>
                    <w:sz w:val="16"/>
                    <w:szCs w:val="16"/>
                  </w:rPr>
                  <w:t>2</w:t>
                </w:r>
              </w:fldSimple>
            </w:p>
          </w:tc>
        </w:tr>
        <w:tr w:rsidR="00A26FA0" w:rsidRPr="00023D46" w:rsidTr="00671F9A">
          <w:trPr>
            <w:jc w:val="center"/>
          </w:trPr>
          <w:tc>
            <w:tcPr>
              <w:tcW w:w="4536" w:type="dxa"/>
            </w:tcPr>
            <w:p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4536" w:type="dxa"/>
              <w:vMerge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4466" w:type="dxa"/>
              <w:vMerge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</w:tbl>
      <w:p w:rsidR="00C72B8A" w:rsidRDefault="00C72B8A" w:rsidP="00C72B8A">
        <w:pPr>
          <w:pStyle w:val="Fuzeile"/>
          <w:tabs>
            <w:tab w:val="left" w:pos="2055"/>
            <w:tab w:val="center" w:pos="7300"/>
          </w:tabs>
          <w:rPr>
            <w:rFonts w:ascii="Arial" w:hAnsi="Arial" w:cs="Arial"/>
            <w:sz w:val="16"/>
            <w:szCs w:val="16"/>
          </w:rPr>
        </w:pPr>
      </w:p>
      <w:p w:rsidR="00C72B8A" w:rsidRPr="00282AF1" w:rsidRDefault="00C72B8A" w:rsidP="00C72B8A">
        <w:pPr>
          <w:pStyle w:val="Fuzeile"/>
          <w:tabs>
            <w:tab w:val="left" w:pos="2055"/>
            <w:tab w:val="center" w:pos="7300"/>
          </w:tabs>
          <w:rPr>
            <w:rFonts w:ascii="Verdana" w:hAnsi="Verdana"/>
            <w:sz w:val="20"/>
            <w:szCs w:val="20"/>
          </w:rPr>
        </w:pPr>
        <w:r w:rsidRPr="00AC58D4">
          <w:rPr>
            <w:rFonts w:ascii="Arial" w:hAnsi="Arial" w:cs="Arial"/>
            <w:sz w:val="16"/>
            <w:szCs w:val="16"/>
          </w:rPr>
          <w:t>Vorlage zum Bayerischen EMAS-Kompass</w:t>
        </w:r>
        <w:r>
          <w:rPr>
            <w:rFonts w:ascii="Arial" w:hAnsi="Arial" w:cs="Arial"/>
            <w:sz w:val="16"/>
            <w:szCs w:val="16"/>
          </w:rPr>
          <w:t>. Copyright: Bayerisches Landesamt für Umwelt (LfU)</w:t>
        </w:r>
        <w:r>
          <w:rPr>
            <w:rFonts w:ascii="Verdana" w:hAnsi="Verdana"/>
            <w:sz w:val="20"/>
            <w:szCs w:val="20"/>
          </w:rPr>
          <w:tab/>
        </w:r>
        <w:r>
          <w:rPr>
            <w:rFonts w:ascii="Verdana" w:hAnsi="Verdana"/>
            <w:sz w:val="20"/>
            <w:szCs w:val="20"/>
          </w:rPr>
          <w:tab/>
        </w:r>
        <w:r>
          <w:rPr>
            <w:rFonts w:ascii="Verdana" w:hAnsi="Verdana"/>
            <w:sz w:val="20"/>
            <w:szCs w:val="20"/>
          </w:rPr>
          <w:tab/>
        </w:r>
      </w:p>
      <w:p w:rsidR="003B71B7" w:rsidRPr="00282AF1" w:rsidRDefault="009835D0">
        <w:pPr>
          <w:pStyle w:val="Fuzeile"/>
          <w:jc w:val="center"/>
          <w:rPr>
            <w:rFonts w:ascii="Verdana" w:hAnsi="Verdana"/>
          </w:rPr>
        </w:pPr>
      </w:p>
    </w:sdtContent>
  </w:sdt>
  <w:p w:rsidR="007B1FB4" w:rsidRPr="007B1FB4" w:rsidRDefault="007B1FB4">
    <w:pPr>
      <w:pStyle w:val="Fuzeile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D90" w:rsidRDefault="005E5D90" w:rsidP="007B1FB4">
      <w:pPr>
        <w:spacing w:after="0" w:line="240" w:lineRule="auto"/>
      </w:pPr>
      <w:r>
        <w:separator/>
      </w:r>
    </w:p>
  </w:footnote>
  <w:footnote w:type="continuationSeparator" w:id="0">
    <w:p w:rsidR="005E5D90" w:rsidRDefault="005E5D90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FA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  <w:r w:rsidR="00540045" w:rsidRPr="00A02BFD">
      <w:rPr>
        <w:rFonts w:ascii="Arial" w:hAnsi="Arial" w:cs="Arial"/>
        <w:sz w:val="20"/>
        <w:szCs w:val="20"/>
      </w:rPr>
      <w:ptab w:relativeTo="margin" w:alignment="center" w:leader="none"/>
    </w:r>
    <w:r w:rsidR="00540045" w:rsidRPr="00A02BFD">
      <w:rPr>
        <w:rFonts w:ascii="Arial" w:hAnsi="Arial" w:cs="Arial"/>
        <w:sz w:val="20"/>
        <w:szCs w:val="20"/>
      </w:rPr>
      <w:ptab w:relativeTo="margin" w:alignment="right" w:leader="none"/>
    </w:r>
    <w:r w:rsidR="0022608C">
      <w:rPr>
        <w:rFonts w:ascii="Arial" w:hAnsi="Arial" w:cs="Arial"/>
        <w:sz w:val="20"/>
        <w:szCs w:val="20"/>
      </w:rPr>
      <w:t>Auditprogramm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519C0"/>
    <w:multiLevelType w:val="hybridMultilevel"/>
    <w:tmpl w:val="AB6844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1061E"/>
    <w:rsid w:val="00015BF9"/>
    <w:rsid w:val="000518E7"/>
    <w:rsid w:val="00056849"/>
    <w:rsid w:val="000676DB"/>
    <w:rsid w:val="00087973"/>
    <w:rsid w:val="000B04A0"/>
    <w:rsid w:val="000B174C"/>
    <w:rsid w:val="000D107A"/>
    <w:rsid w:val="000E4855"/>
    <w:rsid w:val="001031FA"/>
    <w:rsid w:val="0014379D"/>
    <w:rsid w:val="00185A6A"/>
    <w:rsid w:val="0019205D"/>
    <w:rsid w:val="001A6519"/>
    <w:rsid w:val="001B4EA6"/>
    <w:rsid w:val="001B7A57"/>
    <w:rsid w:val="001C2FB6"/>
    <w:rsid w:val="001D4BF4"/>
    <w:rsid w:val="001D4E90"/>
    <w:rsid w:val="001E2CB8"/>
    <w:rsid w:val="001E6FC4"/>
    <w:rsid w:val="002034A4"/>
    <w:rsid w:val="00216DD9"/>
    <w:rsid w:val="00225562"/>
    <w:rsid w:val="0022608C"/>
    <w:rsid w:val="002807FF"/>
    <w:rsid w:val="00282AF1"/>
    <w:rsid w:val="002C0A72"/>
    <w:rsid w:val="002C7A63"/>
    <w:rsid w:val="002F7619"/>
    <w:rsid w:val="003062F6"/>
    <w:rsid w:val="00316326"/>
    <w:rsid w:val="003172CB"/>
    <w:rsid w:val="00345B74"/>
    <w:rsid w:val="00362914"/>
    <w:rsid w:val="0037236D"/>
    <w:rsid w:val="003825B1"/>
    <w:rsid w:val="00395AD2"/>
    <w:rsid w:val="00396590"/>
    <w:rsid w:val="003A45B3"/>
    <w:rsid w:val="003B71B7"/>
    <w:rsid w:val="003C3DAB"/>
    <w:rsid w:val="003D6B15"/>
    <w:rsid w:val="003F5052"/>
    <w:rsid w:val="00413018"/>
    <w:rsid w:val="0042118F"/>
    <w:rsid w:val="00454A9F"/>
    <w:rsid w:val="0046356B"/>
    <w:rsid w:val="004B0687"/>
    <w:rsid w:val="004B7445"/>
    <w:rsid w:val="004B7BF9"/>
    <w:rsid w:val="004F0E71"/>
    <w:rsid w:val="00517F3D"/>
    <w:rsid w:val="00535D00"/>
    <w:rsid w:val="00537C23"/>
    <w:rsid w:val="00540045"/>
    <w:rsid w:val="0055699F"/>
    <w:rsid w:val="00575CE8"/>
    <w:rsid w:val="005B6961"/>
    <w:rsid w:val="005D14FD"/>
    <w:rsid w:val="005D7CFA"/>
    <w:rsid w:val="005E56DB"/>
    <w:rsid w:val="005E5D90"/>
    <w:rsid w:val="006032E3"/>
    <w:rsid w:val="00637367"/>
    <w:rsid w:val="006432FF"/>
    <w:rsid w:val="00667105"/>
    <w:rsid w:val="00670BB2"/>
    <w:rsid w:val="00671F9A"/>
    <w:rsid w:val="006938E7"/>
    <w:rsid w:val="006B1A6B"/>
    <w:rsid w:val="006E37AF"/>
    <w:rsid w:val="00700CD4"/>
    <w:rsid w:val="007100A8"/>
    <w:rsid w:val="0071401D"/>
    <w:rsid w:val="00722CFE"/>
    <w:rsid w:val="00742D6A"/>
    <w:rsid w:val="00746FBC"/>
    <w:rsid w:val="0075580C"/>
    <w:rsid w:val="0077183E"/>
    <w:rsid w:val="007745EB"/>
    <w:rsid w:val="007B1FB4"/>
    <w:rsid w:val="007D168C"/>
    <w:rsid w:val="007E0EF3"/>
    <w:rsid w:val="007E2C85"/>
    <w:rsid w:val="008057F1"/>
    <w:rsid w:val="00840CC2"/>
    <w:rsid w:val="00840FEA"/>
    <w:rsid w:val="008417BC"/>
    <w:rsid w:val="00870FCA"/>
    <w:rsid w:val="00874896"/>
    <w:rsid w:val="00880235"/>
    <w:rsid w:val="0088668F"/>
    <w:rsid w:val="008869C0"/>
    <w:rsid w:val="008951A6"/>
    <w:rsid w:val="008A3C2B"/>
    <w:rsid w:val="008A70D1"/>
    <w:rsid w:val="008B787A"/>
    <w:rsid w:val="008C13DD"/>
    <w:rsid w:val="008E3C13"/>
    <w:rsid w:val="008F0B67"/>
    <w:rsid w:val="00913E20"/>
    <w:rsid w:val="00914A11"/>
    <w:rsid w:val="00916C62"/>
    <w:rsid w:val="00930D73"/>
    <w:rsid w:val="00935A38"/>
    <w:rsid w:val="00937644"/>
    <w:rsid w:val="00953974"/>
    <w:rsid w:val="00956303"/>
    <w:rsid w:val="00964E91"/>
    <w:rsid w:val="00972421"/>
    <w:rsid w:val="009740AA"/>
    <w:rsid w:val="009777BA"/>
    <w:rsid w:val="009835D0"/>
    <w:rsid w:val="009B0BF1"/>
    <w:rsid w:val="009E0BA5"/>
    <w:rsid w:val="009F3FEC"/>
    <w:rsid w:val="00A02BFD"/>
    <w:rsid w:val="00A20C48"/>
    <w:rsid w:val="00A237DA"/>
    <w:rsid w:val="00A26FA0"/>
    <w:rsid w:val="00A50336"/>
    <w:rsid w:val="00A50AC9"/>
    <w:rsid w:val="00A55C1F"/>
    <w:rsid w:val="00A5790F"/>
    <w:rsid w:val="00A64037"/>
    <w:rsid w:val="00A72715"/>
    <w:rsid w:val="00A90C48"/>
    <w:rsid w:val="00AE0CF0"/>
    <w:rsid w:val="00AE1F41"/>
    <w:rsid w:val="00B27BB3"/>
    <w:rsid w:val="00B4473B"/>
    <w:rsid w:val="00B47ABF"/>
    <w:rsid w:val="00B50E3C"/>
    <w:rsid w:val="00B618BD"/>
    <w:rsid w:val="00B837C6"/>
    <w:rsid w:val="00B92F0B"/>
    <w:rsid w:val="00BB4A0F"/>
    <w:rsid w:val="00BF733F"/>
    <w:rsid w:val="00C02639"/>
    <w:rsid w:val="00C16909"/>
    <w:rsid w:val="00C22080"/>
    <w:rsid w:val="00C32B6F"/>
    <w:rsid w:val="00C3420B"/>
    <w:rsid w:val="00C44AD2"/>
    <w:rsid w:val="00C5555B"/>
    <w:rsid w:val="00C7153C"/>
    <w:rsid w:val="00C72B8A"/>
    <w:rsid w:val="00C94BA2"/>
    <w:rsid w:val="00CA468A"/>
    <w:rsid w:val="00CA5B83"/>
    <w:rsid w:val="00D00F3C"/>
    <w:rsid w:val="00D40549"/>
    <w:rsid w:val="00DB1C79"/>
    <w:rsid w:val="00DE4662"/>
    <w:rsid w:val="00DF37F2"/>
    <w:rsid w:val="00DF38CF"/>
    <w:rsid w:val="00E11903"/>
    <w:rsid w:val="00E129E7"/>
    <w:rsid w:val="00E209F0"/>
    <w:rsid w:val="00E24652"/>
    <w:rsid w:val="00E40BA4"/>
    <w:rsid w:val="00E45BA1"/>
    <w:rsid w:val="00E472ED"/>
    <w:rsid w:val="00E54577"/>
    <w:rsid w:val="00E63FA8"/>
    <w:rsid w:val="00E71DE1"/>
    <w:rsid w:val="00E71F67"/>
    <w:rsid w:val="00E92AA4"/>
    <w:rsid w:val="00EB4EC8"/>
    <w:rsid w:val="00ED46FE"/>
    <w:rsid w:val="00ED6489"/>
    <w:rsid w:val="00EE3C01"/>
    <w:rsid w:val="00EE4AE6"/>
    <w:rsid w:val="00EF0357"/>
    <w:rsid w:val="00EF1551"/>
    <w:rsid w:val="00EF3EA9"/>
    <w:rsid w:val="00F00111"/>
    <w:rsid w:val="00F05E4E"/>
    <w:rsid w:val="00F120C6"/>
    <w:rsid w:val="00F12CAE"/>
    <w:rsid w:val="00F30ED5"/>
    <w:rsid w:val="00F318D1"/>
    <w:rsid w:val="00F32B83"/>
    <w:rsid w:val="00F52E6C"/>
    <w:rsid w:val="00F81F36"/>
    <w:rsid w:val="00F90F2D"/>
    <w:rsid w:val="00FC4044"/>
    <w:rsid w:val="00FD6E17"/>
    <w:rsid w:val="00FF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8A3C2B"/>
    <w:pPr>
      <w:ind w:left="720"/>
      <w:contextualSpacing/>
    </w:pPr>
  </w:style>
  <w:style w:type="paragraph" w:styleId="berarbeitung">
    <w:name w:val="Revision"/>
    <w:hidden/>
    <w:uiPriority w:val="99"/>
    <w:semiHidden/>
    <w:rsid w:val="00B47A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StandardWeb">
    <w:name w:val="Normal (Web)"/>
    <w:basedOn w:val="Standard"/>
    <w:uiPriority w:val="99"/>
    <w:semiHidden/>
    <w:unhideWhenUsed/>
    <w:rsid w:val="007D16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8A3C2B"/>
    <w:pPr>
      <w:ind w:left="720"/>
      <w:contextualSpacing/>
    </w:pPr>
  </w:style>
  <w:style w:type="paragraph" w:styleId="berarbeitung">
    <w:name w:val="Revision"/>
    <w:hidden/>
    <w:uiPriority w:val="99"/>
    <w:semiHidden/>
    <w:rsid w:val="00B47A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ED92B-A72F-49D5-9D7D-9F31D599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Constanze Neumann</cp:lastModifiedBy>
  <cp:revision>11</cp:revision>
  <cp:lastPrinted>2015-06-12T11:33:00Z</cp:lastPrinted>
  <dcterms:created xsi:type="dcterms:W3CDTF">2020-03-25T10:38:00Z</dcterms:created>
  <dcterms:modified xsi:type="dcterms:W3CDTF">2020-08-19T14:36:00Z</dcterms:modified>
</cp:coreProperties>
</file>